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A54A" w14:textId="77777777" w:rsidR="006A44BE" w:rsidRPr="006A44BE" w:rsidRDefault="006A44BE" w:rsidP="004F18B7">
      <w:pPr>
        <w:widowControl/>
        <w:spacing w:after="0" w:line="520" w:lineRule="exact"/>
        <w:rPr>
          <w:rFonts w:ascii="黑体" w:eastAsia="黑体" w:hAnsi="Times New Roman" w:cs="Times New Roman"/>
          <w:sz w:val="32"/>
          <w:szCs w:val="32"/>
          <w14:ligatures w14:val="none"/>
        </w:rPr>
      </w:pPr>
      <w:r w:rsidRPr="006A44BE">
        <w:rPr>
          <w:rFonts w:ascii="黑体" w:eastAsia="黑体" w:hAnsi="Times New Roman" w:cs="Times New Roman" w:hint="eastAsia"/>
          <w:sz w:val="32"/>
          <w:szCs w:val="32"/>
          <w14:ligatures w14:val="none"/>
        </w:rPr>
        <w:t>附件1</w:t>
      </w:r>
    </w:p>
    <w:p w14:paraId="3CD4CC71" w14:textId="77777777" w:rsidR="006A44BE" w:rsidRPr="006A44BE" w:rsidRDefault="006A44BE" w:rsidP="004F18B7">
      <w:pPr>
        <w:spacing w:after="0" w:line="520" w:lineRule="exact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</w:p>
    <w:p w14:paraId="55CCABF2" w14:textId="77777777" w:rsidR="006A44BE" w:rsidRPr="006A44BE" w:rsidRDefault="006A44BE" w:rsidP="004F18B7">
      <w:pPr>
        <w:spacing w:after="0" w:line="520" w:lineRule="exact"/>
        <w:jc w:val="center"/>
        <w:rPr>
          <w:rFonts w:ascii="方正小标宋简体" w:eastAsia="方正小标宋简体" w:hAnsi="方正公文小标宋" w:cs="方正公文小标宋" w:hint="eastAsia"/>
          <w:sz w:val="36"/>
          <w:szCs w:val="36"/>
          <w14:ligatures w14:val="none"/>
        </w:rPr>
      </w:pPr>
      <w:r w:rsidRPr="006A44BE">
        <w:rPr>
          <w:rFonts w:ascii="方正小标宋简体" w:eastAsia="方正小标宋简体" w:hAnsi="方正公文小标宋" w:cs="方正公文小标宋" w:hint="eastAsia"/>
          <w:sz w:val="36"/>
          <w:szCs w:val="36"/>
          <w14:ligatures w14:val="none"/>
        </w:rPr>
        <w:t>陕西铁路工程职业技术学院</w:t>
      </w:r>
    </w:p>
    <w:p w14:paraId="4AB3EC9B" w14:textId="5F7CE792" w:rsidR="006A44BE" w:rsidRPr="006A44BE" w:rsidRDefault="006A44BE" w:rsidP="004F18B7">
      <w:pPr>
        <w:spacing w:after="0" w:line="520" w:lineRule="exact"/>
        <w:jc w:val="center"/>
        <w:rPr>
          <w:rFonts w:ascii="方正小标宋简体" w:eastAsia="方正小标宋简体" w:hAnsi="Times New Roman" w:cs="仿宋"/>
          <w:sz w:val="32"/>
          <w:szCs w:val="32"/>
          <w14:ligatures w14:val="none"/>
        </w:rPr>
      </w:pPr>
      <w:r w:rsidRPr="006A44BE">
        <w:rPr>
          <w:rFonts w:ascii="方正小标宋简体" w:eastAsia="方正小标宋简体" w:hAnsi="方正公文小标宋" w:cs="方正公文小标宋" w:hint="eastAsia"/>
          <w:sz w:val="36"/>
          <w:szCs w:val="36"/>
          <w14:ligatures w14:val="none"/>
        </w:rPr>
        <w:t>科普讲解大赛实施方案</w:t>
      </w:r>
    </w:p>
    <w:p w14:paraId="7388E32D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  <w14:ligatures w14:val="none"/>
        </w:rPr>
      </w:pPr>
      <w:r w:rsidRPr="006A44BE">
        <w:rPr>
          <w:rFonts w:ascii="黑体" w:eastAsia="黑体" w:hAnsi="Times New Roman" w:cs="Times New Roman" w:hint="eastAsia"/>
          <w:sz w:val="32"/>
          <w:szCs w:val="32"/>
          <w14:ligatures w14:val="none"/>
        </w:rPr>
        <w:t>一、竞赛内容</w:t>
      </w:r>
    </w:p>
    <w:p w14:paraId="658032A0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比赛仅自主命题讲解一个环节，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应使用国家通用语言。</w:t>
      </w:r>
    </w:p>
    <w:p w14:paraId="022318F1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自主命题讲解由选手自行确定一个科普内容命题进行讲解，以《中国公民科学素质基准》中的知识为主，须与自然科学和技术相关，选手可通过表述设定场景和对象，必须借助多媒体、实物等多种手段辅助进行讲解，丰富舞台效果。自主命题讲解时间为4分钟。选手讲解时可说明情景设置情况，明确讲解对象。要求配戴耳麦（或手持麦克风），拿遥控器或激光笔，全程自行操作视频或PPT等播放设备，不得由别人协助。</w:t>
      </w:r>
    </w:p>
    <w:p w14:paraId="17808FD9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  <w14:ligatures w14:val="none"/>
        </w:rPr>
      </w:pPr>
      <w:r w:rsidRPr="006A44BE">
        <w:rPr>
          <w:rFonts w:ascii="黑体" w:eastAsia="黑体" w:hAnsi="Times New Roman" w:cs="Times New Roman" w:hint="eastAsia"/>
          <w:sz w:val="32"/>
          <w:szCs w:val="32"/>
          <w14:ligatures w14:val="none"/>
        </w:rPr>
        <w:t>二、评分标准</w:t>
      </w:r>
    </w:p>
    <w:p w14:paraId="3A1B3773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比赛总分100分，评分保留到小数点后一位。</w:t>
      </w:r>
    </w:p>
    <w:p w14:paraId="412B096C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（一）自主命题讲解由专家评委从以下方面进行评分，总分100分。</w:t>
      </w:r>
    </w:p>
    <w:p w14:paraId="2B155B7D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1. 整体形象（15分）</w:t>
      </w:r>
    </w:p>
    <w:p w14:paraId="6D63896C" w14:textId="77777777" w:rsidR="006A44BE" w:rsidRPr="006A44BE" w:rsidRDefault="006A44BE" w:rsidP="004F18B7">
      <w:pPr>
        <w:spacing w:after="0" w:line="520" w:lineRule="exact"/>
        <w:ind w:firstLineChars="350" w:firstLine="112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衣着得体、精神饱满；</w:t>
      </w:r>
    </w:p>
    <w:p w14:paraId="1E9BEB39" w14:textId="77777777" w:rsidR="006A44BE" w:rsidRPr="006A44BE" w:rsidRDefault="006A44BE" w:rsidP="004F18B7">
      <w:pPr>
        <w:spacing w:after="0" w:line="520" w:lineRule="exact"/>
        <w:ind w:firstLineChars="350" w:firstLine="112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举止大方、自然协调。</w:t>
      </w:r>
    </w:p>
    <w:p w14:paraId="5E9BAE44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2. 表达效果（25分）</w:t>
      </w:r>
    </w:p>
    <w:p w14:paraId="15794843" w14:textId="77777777" w:rsidR="006A44BE" w:rsidRPr="006A44BE" w:rsidRDefault="006A44BE" w:rsidP="004F18B7">
      <w:pPr>
        <w:spacing w:after="0" w:line="520" w:lineRule="exact"/>
        <w:ind w:firstLineChars="350" w:firstLine="112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发音标准、吐字清晰；</w:t>
      </w:r>
    </w:p>
    <w:p w14:paraId="68D5F8D8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 xml:space="preserve">   通俗易懂、深入浅出。</w:t>
      </w:r>
    </w:p>
    <w:p w14:paraId="73B873BF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3. 自主命题讲解（60分）</w:t>
      </w:r>
    </w:p>
    <w:p w14:paraId="063D5B34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 xml:space="preserve">   科学准确、重点突出；</w:t>
      </w:r>
    </w:p>
    <w:p w14:paraId="7AE09442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lastRenderedPageBreak/>
        <w:t xml:space="preserve">   层次清楚、合乎逻辑。</w:t>
      </w:r>
    </w:p>
    <w:p w14:paraId="14A494ED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（二）超时由记分员进行扣分记录。</w:t>
      </w:r>
    </w:p>
    <w:p w14:paraId="08F1FFC6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自主命题讲解限时4分钟，不足3分钟扣2分，超时10秒后讲解中止扣2分。</w:t>
      </w:r>
    </w:p>
    <w:p w14:paraId="46EE00D5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  <w14:ligatures w14:val="none"/>
        </w:rPr>
      </w:pPr>
      <w:r w:rsidRPr="006A44BE">
        <w:rPr>
          <w:rFonts w:ascii="黑体" w:eastAsia="黑体" w:hAnsi="Times New Roman" w:cs="Times New Roman" w:hint="eastAsia"/>
          <w:sz w:val="32"/>
          <w:szCs w:val="32"/>
          <w14:ligatures w14:val="none"/>
        </w:rPr>
        <w:t>三、比赛规则</w:t>
      </w:r>
    </w:p>
    <w:p w14:paraId="33A2C42C" w14:textId="77777777" w:rsidR="006A44BE" w:rsidRPr="006A44BE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（一）参加比赛的选手赛前抽签并领取号牌，按牌号顺序上场比赛。</w:t>
      </w:r>
    </w:p>
    <w:p w14:paraId="5D49C92E" w14:textId="77777777" w:rsidR="00986F08" w:rsidRDefault="006A44BE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（二）共聘请5-7名专家评委，对选手表现进行综合打分，并指定评委对选手整体表现进行点评。所有评委打分的平均数为选手自主讲解环节的得分。</w:t>
      </w:r>
    </w:p>
    <w:p w14:paraId="064C88D4" w14:textId="11BC9D23" w:rsidR="006A44BE" w:rsidRPr="006A44BE" w:rsidRDefault="00986F08" w:rsidP="004F18B7">
      <w:pPr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  <w14:ligatures w14:val="none"/>
        </w:rPr>
      </w:pPr>
      <w:r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（三）</w:t>
      </w:r>
      <w:r w:rsidR="006A44BE"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超时扣分情况由记分员记录。打分采用现场打分、亮分和公布成绩的方式，评委</w:t>
      </w:r>
      <w:proofErr w:type="gramStart"/>
      <w:r w:rsidR="006A44BE"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不对选手</w:t>
      </w:r>
      <w:proofErr w:type="gramEnd"/>
      <w:r w:rsidR="006A44BE" w:rsidRPr="006A44BE"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  <w:t>的时间使用情况进行记录，由记分工作人员进行记录。将专家评委分数、超时、少时扣分的分数相加，得出该选手的总分数。</w:t>
      </w:r>
    </w:p>
    <w:p w14:paraId="4129F360" w14:textId="77777777" w:rsidR="006A44BE" w:rsidRPr="006A44BE" w:rsidRDefault="006A44BE" w:rsidP="004F18B7">
      <w:pPr>
        <w:spacing w:after="0" w:line="520" w:lineRule="exact"/>
        <w:ind w:firstLine="645"/>
        <w:jc w:val="both"/>
        <w:rPr>
          <w:rFonts w:ascii="黑体" w:eastAsia="黑体" w:hAnsi="Times New Roman" w:cs="仿宋"/>
          <w:sz w:val="32"/>
          <w:szCs w:val="32"/>
          <w14:ligatures w14:val="none"/>
        </w:rPr>
      </w:pPr>
      <w:r w:rsidRPr="006A44BE">
        <w:rPr>
          <w:rFonts w:ascii="黑体" w:eastAsia="黑体" w:hAnsi="Times New Roman" w:cs="仿宋" w:hint="eastAsia"/>
          <w:sz w:val="32"/>
          <w:szCs w:val="32"/>
          <w14:ligatures w14:val="none"/>
        </w:rPr>
        <w:t>四、比赛奖项设置</w:t>
      </w:r>
    </w:p>
    <w:p w14:paraId="016A72DC" w14:textId="161D8A7E" w:rsidR="006A44BE" w:rsidRPr="006A44BE" w:rsidRDefault="006A44BE" w:rsidP="004F18B7">
      <w:pPr>
        <w:spacing w:after="0" w:line="520" w:lineRule="exact"/>
        <w:ind w:firstLine="645"/>
        <w:jc w:val="both"/>
        <w:rPr>
          <w:rFonts w:ascii="仿宋_GB2312" w:eastAsia="仿宋_GB2312" w:hAnsi="Times New Roman" w:cs="仿宋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一等奖：教师和学生各</w:t>
      </w:r>
      <w:r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1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名，共</w:t>
      </w:r>
      <w:r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2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名，颁发荣誉证书</w:t>
      </w:r>
      <w:r w:rsidR="004421AF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及奖品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。</w:t>
      </w:r>
    </w:p>
    <w:p w14:paraId="6BC51240" w14:textId="481CDFC9" w:rsidR="006A44BE" w:rsidRPr="006A44BE" w:rsidRDefault="006A44BE" w:rsidP="004F18B7">
      <w:pPr>
        <w:spacing w:after="0" w:line="520" w:lineRule="exact"/>
        <w:ind w:firstLine="645"/>
        <w:jc w:val="both"/>
        <w:rPr>
          <w:rFonts w:ascii="仿宋_GB2312" w:eastAsia="仿宋_GB2312" w:hAnsi="Times New Roman" w:cs="仿宋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二等奖：教师和学生各</w:t>
      </w:r>
      <w:r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2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名，共</w:t>
      </w:r>
      <w:r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4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名，颁发荣誉证书</w:t>
      </w:r>
      <w:r w:rsidR="004421AF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及奖品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。</w:t>
      </w:r>
    </w:p>
    <w:p w14:paraId="025A012A" w14:textId="0CF595C2" w:rsidR="006A44BE" w:rsidRPr="006A44BE" w:rsidRDefault="006A44BE" w:rsidP="004F18B7">
      <w:pPr>
        <w:spacing w:after="0" w:line="520" w:lineRule="exact"/>
        <w:ind w:firstLine="645"/>
        <w:jc w:val="both"/>
        <w:rPr>
          <w:rFonts w:ascii="仿宋_GB2312" w:eastAsia="仿宋_GB2312" w:hAnsi="Times New Roman" w:cs="仿宋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三等奖：教师和学生各</w:t>
      </w:r>
      <w:r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3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名，共</w:t>
      </w:r>
      <w:r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6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名，颁发荣誉证书</w:t>
      </w:r>
      <w:r w:rsidR="004421AF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及奖品</w:t>
      </w: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。</w:t>
      </w:r>
    </w:p>
    <w:p w14:paraId="51EB5417" w14:textId="77777777" w:rsidR="006A44BE" w:rsidRPr="006A44BE" w:rsidRDefault="006A44BE" w:rsidP="004F18B7">
      <w:pPr>
        <w:spacing w:after="0" w:line="520" w:lineRule="exact"/>
        <w:ind w:firstLine="645"/>
        <w:jc w:val="both"/>
        <w:rPr>
          <w:rFonts w:ascii="仿宋_GB2312" w:eastAsia="仿宋_GB2312" w:hAnsi="Times New Roman" w:cs="仿宋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优秀奖：若干，颁发荣誉证书。</w:t>
      </w:r>
    </w:p>
    <w:p w14:paraId="4C05DA29" w14:textId="77777777" w:rsidR="006A44BE" w:rsidRPr="006A44BE" w:rsidRDefault="006A44BE" w:rsidP="004F18B7">
      <w:pPr>
        <w:spacing w:after="0" w:line="520" w:lineRule="exact"/>
        <w:ind w:firstLine="645"/>
        <w:jc w:val="both"/>
        <w:rPr>
          <w:rFonts w:ascii="仿宋_GB2312" w:eastAsia="仿宋_GB2312" w:hAnsi="Times New Roman" w:cs="仿宋"/>
          <w:sz w:val="32"/>
          <w:szCs w:val="32"/>
          <w14:ligatures w14:val="none"/>
        </w:rPr>
      </w:pPr>
      <w:r w:rsidRPr="006A44BE">
        <w:rPr>
          <w:rFonts w:ascii="仿宋_GB2312" w:eastAsia="仿宋_GB2312" w:hAnsi="Times New Roman" w:cs="仿宋" w:hint="eastAsia"/>
          <w:sz w:val="32"/>
          <w:szCs w:val="32"/>
          <w14:ligatures w14:val="none"/>
        </w:rPr>
        <w:t>优秀组织单位奖：若干，颁发荣誉证书。</w:t>
      </w:r>
    </w:p>
    <w:p w14:paraId="29C648B2" w14:textId="77777777" w:rsidR="006A44BE" w:rsidRDefault="006A44BE" w:rsidP="004F18B7">
      <w:pPr>
        <w:spacing w:after="0" w:line="52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75870970" w14:textId="77777777" w:rsidR="00E239B3" w:rsidRDefault="00E239B3" w:rsidP="004F18B7">
      <w:pPr>
        <w:spacing w:after="0" w:line="52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0F3F224E" w14:textId="77777777" w:rsidR="00E239B3" w:rsidRDefault="00E239B3" w:rsidP="004F18B7">
      <w:pPr>
        <w:spacing w:after="0" w:line="52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07FA9CFC" w14:textId="77777777" w:rsidR="00E239B3" w:rsidRDefault="00E239B3" w:rsidP="002B512C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25626159" w14:textId="77777777" w:rsidR="00E239B3" w:rsidRDefault="00E239B3" w:rsidP="002B512C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2DD4CDB9" w14:textId="77777777" w:rsidR="00E239B3" w:rsidRDefault="00E239B3" w:rsidP="002B512C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07AA69F1" w14:textId="77777777" w:rsidR="00E239B3" w:rsidRDefault="00E239B3" w:rsidP="002B512C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67494EE4" w14:textId="77777777" w:rsidR="00E239B3" w:rsidRDefault="00E239B3" w:rsidP="002B512C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6446C69F" w14:textId="77777777" w:rsidR="00E239B3" w:rsidRDefault="00E239B3" w:rsidP="002B512C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1FE9DFDB" w14:textId="77777777" w:rsidR="00E239B3" w:rsidRPr="006A44BE" w:rsidRDefault="00E239B3" w:rsidP="002B512C">
      <w:pPr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sectPr w:rsidR="00E239B3" w:rsidRPr="006A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A7D06" w14:textId="77777777" w:rsidR="00EC019F" w:rsidRDefault="00EC019F" w:rsidP="004421A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688B7AB" w14:textId="77777777" w:rsidR="00EC019F" w:rsidRDefault="00EC019F" w:rsidP="004421A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0F50" w14:textId="77777777" w:rsidR="00EC019F" w:rsidRDefault="00EC019F" w:rsidP="004421A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1C2224F" w14:textId="77777777" w:rsidR="00EC019F" w:rsidRDefault="00EC019F" w:rsidP="004421A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7A"/>
    <w:rsid w:val="001B7CC8"/>
    <w:rsid w:val="001D29FD"/>
    <w:rsid w:val="002B512C"/>
    <w:rsid w:val="00360649"/>
    <w:rsid w:val="003B6380"/>
    <w:rsid w:val="004421AF"/>
    <w:rsid w:val="004F18B7"/>
    <w:rsid w:val="00585056"/>
    <w:rsid w:val="005F271F"/>
    <w:rsid w:val="00643BC4"/>
    <w:rsid w:val="006A44BE"/>
    <w:rsid w:val="0071091A"/>
    <w:rsid w:val="00726FDC"/>
    <w:rsid w:val="007C3E6C"/>
    <w:rsid w:val="0083167A"/>
    <w:rsid w:val="0088033E"/>
    <w:rsid w:val="008E7B67"/>
    <w:rsid w:val="00986F08"/>
    <w:rsid w:val="00B22750"/>
    <w:rsid w:val="00B56BDF"/>
    <w:rsid w:val="00E239B3"/>
    <w:rsid w:val="00E521AF"/>
    <w:rsid w:val="00EC019F"/>
    <w:rsid w:val="00F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4498D"/>
  <w15:chartTrackingRefBased/>
  <w15:docId w15:val="{1C1F528F-72F6-4DDE-9CDA-61BD784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7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7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7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6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6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67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6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6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6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167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21A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21A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21A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21AF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403</Words>
  <Characters>417</Characters>
  <Application>Microsoft Office Word</Application>
  <DocSecurity>0</DocSecurity>
  <Lines>27</Lines>
  <Paragraphs>23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康萌</dc:creator>
  <cp:keywords/>
  <dc:description/>
  <cp:lastModifiedBy>赵晓玉</cp:lastModifiedBy>
  <cp:revision>3</cp:revision>
  <dcterms:created xsi:type="dcterms:W3CDTF">2025-04-30T03:59:00Z</dcterms:created>
  <dcterms:modified xsi:type="dcterms:W3CDTF">2025-04-30T07:04:00Z</dcterms:modified>
</cp:coreProperties>
</file>